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Default="00C47E6C" w:rsidP="00C47E6C">
      <w:pPr>
        <w:jc w:val="left"/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25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 w:rsid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ноября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2020 г.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  <w:t xml:space="preserve">   № 792</w:t>
      </w:r>
    </w:p>
    <w:p w:rsidR="00C47E6C" w:rsidRPr="00603DCB" w:rsidRDefault="00C47E6C" w:rsidP="00C47E6C">
      <w:pPr>
        <w:jc w:val="lef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603DCB" w:rsidRPr="000D769B" w:rsidRDefault="00603DCB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кодов целевых статей классификации расходов бюджета</w:t>
            </w:r>
            <w:proofErr w:type="gramEnd"/>
            <w:r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XXXXXIV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 367 -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Лахденпохском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3DCB" w:rsidRDefault="000D769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D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history="1">
        <w:r w:rsidR="00603DCB" w:rsidRPr="00603DC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603DCB"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целевых статей расходов бюджета Лахденпохского </w:t>
      </w:r>
      <w:r w:rsidR="008D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603DCB"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</w:t>
      </w:r>
      <w:r w:rsid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603DCB"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CB" w:rsidRPr="00603DCB" w:rsidRDefault="00603DC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8" w:history="1">
        <w:r w:rsidRPr="00603DC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целевых статей классификации расходов бюджета Лахденпохского </w:t>
      </w:r>
      <w:r w:rsidR="008D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согласно приложению 2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CB" w:rsidRPr="00603DCB" w:rsidRDefault="00603DC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</w:t>
      </w:r>
      <w:r w:rsidR="008D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D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бюджета Лахденпохского </w:t>
      </w:r>
      <w:r w:rsidR="008D7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03DCB" w:rsidRPr="007F62B4" w:rsidRDefault="00603DC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1 января 202</w:t>
      </w:r>
      <w:r w:rsidR="00BC247A" w:rsidRPr="007F6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0D769B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0D769B"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Лахденпохского 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от 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361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перечне </w:t>
      </w:r>
      <w:proofErr w:type="gramStart"/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статей классификации расходов бюджета</w:t>
      </w:r>
      <w:proofErr w:type="gramEnd"/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</w:t>
      </w:r>
      <w:r w:rsidR="00A44FF8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порядка их применения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FF8" w:rsidRDefault="00A44FF8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Лахденпохского 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ября 2019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перечне </w:t>
      </w:r>
      <w:proofErr w:type="gramStart"/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икации расходов бюджета</w:t>
      </w:r>
      <w:proofErr w:type="gramEnd"/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порядка их применения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FF8" w:rsidRPr="00A44FF8" w:rsidRDefault="00A44FF8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Лахденпохского 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перечне </w:t>
      </w:r>
      <w:proofErr w:type="gramStart"/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городского поселения</w:t>
      </w:r>
      <w:r w:rsidR="005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порядка их применения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30C4" w:rsidRPr="00A44FF8" w:rsidRDefault="005430C4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Администрации Лахденпохского 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 изменений и дополнений в перечень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икации расходов бюджета</w:t>
      </w:r>
      <w:proofErr w:type="gramEnd"/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порядка их применения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30C4" w:rsidRDefault="005430C4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Лахденпохского 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и дополнений в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целе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статей классификации расходов бюджета</w:t>
      </w:r>
      <w:proofErr w:type="gramEnd"/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городского поселения»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FF8" w:rsidRPr="00A44FF8" w:rsidRDefault="0059684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Лахденпохского 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336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 изменений и дополнений в Порядок применения целе</w:t>
      </w:r>
      <w:r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статей классификации расходов бюджета Лахденпохского городского поселения»</w:t>
      </w:r>
      <w:r w:rsidR="003D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69B" w:rsidRDefault="005A02FF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по выполнению настоящего Постановления возложить </w:t>
      </w:r>
      <w:proofErr w:type="gramStart"/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Лахденпохского муниципального района по финансам,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BE0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управления Т.В. Сергушкину.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2B4" w:rsidRPr="000D769B" w:rsidRDefault="007F62B4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О.В. Болгов</w:t>
      </w:r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0D769B" w:rsidRPr="000D769B" w:rsidRDefault="000D769B" w:rsidP="000D769B">
      <w:pPr>
        <w:spacing w:before="100" w:beforeAutospacing="1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BC2" w:rsidRDefault="003D5BC2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BC2" w:rsidRPr="000D769B" w:rsidRDefault="003D5BC2" w:rsidP="000D769B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83A" w:rsidRDefault="00E6583A" w:rsidP="007F62B4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2B4" w:rsidRPr="000D769B" w:rsidRDefault="007F62B4" w:rsidP="007F62B4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D769B" w:rsidRPr="000D769B" w:rsidRDefault="000D769B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0D769B" w:rsidRPr="000D769B" w:rsidRDefault="000D769B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Default="00C47E6C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792</w:t>
      </w:r>
      <w:r w:rsidR="00E6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E6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 2020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13103" w:rsidRDefault="00213103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03" w:rsidRDefault="00213103" w:rsidP="00E6583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03" w:rsidRPr="00213103" w:rsidRDefault="00C47E6C" w:rsidP="002131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213103" w:rsidRPr="00213103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213103" w:rsidRPr="0021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кодов целевых статей расходов бюджета Лахденпохского городского поселения</w:t>
      </w:r>
    </w:p>
    <w:p w:rsidR="00213103" w:rsidRPr="00213103" w:rsidRDefault="00213103" w:rsidP="002131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8049"/>
      </w:tblGrid>
      <w:tr w:rsidR="00DA2E85" w:rsidRPr="00DA2E85" w:rsidTr="00DA2E85">
        <w:trPr>
          <w:trHeight w:val="705"/>
        </w:trPr>
        <w:tc>
          <w:tcPr>
            <w:tcW w:w="2020" w:type="dxa"/>
            <w:noWrap/>
            <w:hideMark/>
          </w:tcPr>
          <w:p w:rsidR="00DA2E85" w:rsidRPr="00DA2E85" w:rsidRDefault="00DA2E85" w:rsidP="00DA2E8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0" w:type="dxa"/>
            <w:noWrap/>
            <w:hideMark/>
          </w:tcPr>
          <w:p w:rsidR="00DA2E85" w:rsidRPr="00DA2E85" w:rsidRDefault="00DA2E85" w:rsidP="00DA2E8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A2E85" w:rsidRPr="00DA2E85" w:rsidTr="00213103">
        <w:trPr>
          <w:trHeight w:val="493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DA2E85" w:rsidRPr="00DA2E85" w:rsidTr="00213103">
        <w:trPr>
          <w:trHeight w:val="401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3100010100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Лахденпохского городского поселения</w:t>
            </w:r>
          </w:p>
        </w:tc>
      </w:tr>
      <w:tr w:rsidR="00DA2E85" w:rsidRPr="00DA2E85" w:rsidTr="00213103">
        <w:trPr>
          <w:trHeight w:val="421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3100010110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расходы, участие в торжественных мероприятиях</w:t>
            </w:r>
          </w:p>
        </w:tc>
      </w:tr>
      <w:tr w:rsidR="00DA2E85" w:rsidRPr="00DA2E85" w:rsidTr="00DA2E85">
        <w:trPr>
          <w:trHeight w:val="70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3100079200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Контрольно-счетного органа Лахденпохского городского поселения</w:t>
            </w:r>
          </w:p>
        </w:tc>
      </w:tr>
      <w:tr w:rsidR="00DA2E85" w:rsidRPr="00DA2E85" w:rsidTr="00DA2E85">
        <w:trPr>
          <w:trHeight w:val="70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</w:tr>
      <w:tr w:rsidR="00DA2E85" w:rsidRPr="00DA2E85" w:rsidTr="00DA2E85">
        <w:trPr>
          <w:trHeight w:val="64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3200072110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и распоряжению имуществом</w:t>
            </w:r>
          </w:p>
        </w:tc>
      </w:tr>
      <w:tr w:rsidR="00DA2E85" w:rsidRPr="00DA2E85" w:rsidTr="00213103">
        <w:trPr>
          <w:trHeight w:val="59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3200076300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</w:tr>
      <w:tr w:rsidR="00DA2E85" w:rsidRPr="00DA2E85" w:rsidTr="00DA2E85">
        <w:trPr>
          <w:trHeight w:val="84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3200079300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мировых соглашений и актов органов, осуществляющих контрольные функции</w:t>
            </w:r>
          </w:p>
        </w:tc>
      </w:tr>
      <w:tr w:rsidR="00DA2E85" w:rsidRPr="00DA2E85" w:rsidTr="00DA2E85">
        <w:trPr>
          <w:trHeight w:val="52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3200079900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</w:t>
            </w:r>
          </w:p>
        </w:tc>
      </w:tr>
      <w:tr w:rsidR="00DA2E85" w:rsidRPr="00DA2E85" w:rsidTr="00DA2E85">
        <w:trPr>
          <w:trHeight w:val="55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в области культуры</w:t>
            </w:r>
          </w:p>
        </w:tc>
      </w:tr>
      <w:tr w:rsidR="00DA2E85" w:rsidRPr="00DA2E85" w:rsidTr="00DA2E85">
        <w:trPr>
          <w:trHeight w:val="51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3300020100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библиотечных, культурных и досуговых центов</w:t>
            </w:r>
          </w:p>
        </w:tc>
      </w:tr>
      <w:tr w:rsidR="00DA2E85" w:rsidRPr="00DA2E85" w:rsidTr="00DA2E85">
        <w:trPr>
          <w:trHeight w:val="69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3300043250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государственной программы Республики Карелия "Развитие культуры"</w:t>
            </w:r>
          </w:p>
        </w:tc>
      </w:tr>
      <w:tr w:rsidR="00DA2E85" w:rsidRPr="00DA2E85" w:rsidTr="00DA2E85">
        <w:trPr>
          <w:trHeight w:val="70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33000S3250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мероприятия, реализуемые в рамках государственной программы Республики Карелия "Развитие культуры"</w:t>
            </w:r>
          </w:p>
        </w:tc>
      </w:tr>
      <w:tr w:rsidR="00DA2E85" w:rsidRPr="00DA2E85" w:rsidTr="00DA2E85">
        <w:trPr>
          <w:trHeight w:val="67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в области жилищно-коммунального хозяйства:</w:t>
            </w:r>
          </w:p>
        </w:tc>
      </w:tr>
      <w:tr w:rsidR="00DA2E85" w:rsidRPr="00DA2E85" w:rsidTr="00DA2E85">
        <w:trPr>
          <w:trHeight w:val="60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3400043140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местных инициатив граждан, проживающих в муниципальных образованиях</w:t>
            </w:r>
          </w:p>
        </w:tc>
      </w:tr>
      <w:tr w:rsidR="00DA2E85" w:rsidRPr="00DA2E85" w:rsidTr="00DA2E85">
        <w:trPr>
          <w:trHeight w:val="90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3400043220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</w:tr>
      <w:tr w:rsidR="003D2A7E" w:rsidRPr="00DA2E85" w:rsidTr="00213103">
        <w:trPr>
          <w:trHeight w:val="840"/>
        </w:trPr>
        <w:tc>
          <w:tcPr>
            <w:tcW w:w="2020" w:type="dxa"/>
          </w:tcPr>
          <w:p w:rsidR="003D2A7E" w:rsidRPr="003D2A7E" w:rsidRDefault="003D2A7E" w:rsidP="004212D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340F300000</w:t>
            </w:r>
          </w:p>
        </w:tc>
        <w:tc>
          <w:tcPr>
            <w:tcW w:w="11040" w:type="dxa"/>
          </w:tcPr>
          <w:p w:rsidR="003D2A7E" w:rsidRPr="00DA2E85" w:rsidRDefault="00FB60E5" w:rsidP="003D2A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«Обеспечение устойчивого сокращения непригодного для проживания жилищного фонда» в рамках реализации национального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 «Жилье и городская среда»</w:t>
            </w:r>
          </w:p>
        </w:tc>
      </w:tr>
      <w:tr w:rsidR="00DA2E85" w:rsidRPr="00DA2E85" w:rsidTr="00213103">
        <w:trPr>
          <w:trHeight w:val="840"/>
        </w:trPr>
        <w:tc>
          <w:tcPr>
            <w:tcW w:w="2020" w:type="dxa"/>
            <w:hideMark/>
          </w:tcPr>
          <w:p w:rsidR="00DA2E85" w:rsidRPr="00DA2E85" w:rsidRDefault="00DA2E85" w:rsidP="004212D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  <w:r w:rsidR="0042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F3</w:t>
            </w: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</w:tr>
      <w:tr w:rsidR="00DA2E85" w:rsidRPr="00DA2E85" w:rsidTr="00213103">
        <w:trPr>
          <w:trHeight w:val="568"/>
        </w:trPr>
        <w:tc>
          <w:tcPr>
            <w:tcW w:w="2020" w:type="dxa"/>
            <w:hideMark/>
          </w:tcPr>
          <w:p w:rsidR="00DA2E85" w:rsidRPr="00DA2E85" w:rsidRDefault="004212D2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F3</w:t>
            </w:r>
            <w:r w:rsidR="00DA2E85"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A2E85" w:rsidRPr="00DA2E85" w:rsidTr="00213103">
        <w:trPr>
          <w:trHeight w:val="40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3400071120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фонд капитального ремонта</w:t>
            </w:r>
          </w:p>
        </w:tc>
      </w:tr>
      <w:tr w:rsidR="00DA2E85" w:rsidRPr="00DA2E85" w:rsidTr="00213103">
        <w:trPr>
          <w:trHeight w:val="553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3400071130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</w:t>
            </w:r>
            <w:r w:rsidR="00AF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по начислению и сбору платы з</w:t>
            </w: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наем муниципального жилья</w:t>
            </w:r>
          </w:p>
        </w:tc>
      </w:tr>
      <w:tr w:rsidR="00DA2E85" w:rsidRPr="00DA2E85" w:rsidTr="00213103">
        <w:trPr>
          <w:trHeight w:val="42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3400073200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DA2E85" w:rsidRPr="00DA2E85" w:rsidTr="00213103">
        <w:trPr>
          <w:trHeight w:val="412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3400074100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</w:tr>
      <w:tr w:rsidR="00DA2E85" w:rsidRPr="00DA2E85" w:rsidTr="00213103">
        <w:trPr>
          <w:trHeight w:val="417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3400074110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признанию многоквартирных домов </w:t>
            </w:r>
            <w:proofErr w:type="gramStart"/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аварийными</w:t>
            </w:r>
            <w:proofErr w:type="gramEnd"/>
          </w:p>
        </w:tc>
      </w:tr>
      <w:tr w:rsidR="00DA2E85" w:rsidRPr="00DA2E85" w:rsidTr="00213103">
        <w:trPr>
          <w:trHeight w:val="40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3400074200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DA2E85" w:rsidRPr="00DA2E85" w:rsidTr="00213103">
        <w:trPr>
          <w:trHeight w:val="42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3400074300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</w:tr>
      <w:tr w:rsidR="00DA2E85" w:rsidRPr="00DA2E85" w:rsidTr="00213103">
        <w:trPr>
          <w:trHeight w:val="408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3400074310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бани</w:t>
            </w:r>
          </w:p>
        </w:tc>
      </w:tr>
      <w:tr w:rsidR="00DA2E85" w:rsidRPr="00DA2E85" w:rsidTr="00213103">
        <w:trPr>
          <w:trHeight w:val="413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3400074400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DA2E85" w:rsidRPr="00DA2E85" w:rsidTr="00213103">
        <w:trPr>
          <w:trHeight w:val="547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3400079300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мировых соглашений и актов органов, осуществляющих контрольные функции</w:t>
            </w:r>
          </w:p>
        </w:tc>
      </w:tr>
      <w:tr w:rsidR="00DA2E85" w:rsidRPr="00DA2E85" w:rsidTr="00213103">
        <w:trPr>
          <w:trHeight w:val="56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34000S3140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мероприятия, реализуемые в рамках поддержки местных инициатив граждан, проживающих в муниципальных образованиях</w:t>
            </w:r>
          </w:p>
        </w:tc>
      </w:tr>
      <w:tr w:rsidR="00DA2E85" w:rsidRPr="00DA2E85" w:rsidTr="00213103">
        <w:trPr>
          <w:trHeight w:val="407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</w:tr>
      <w:tr w:rsidR="00DA2E85" w:rsidRPr="00DA2E85" w:rsidTr="00DA2E85">
        <w:trPr>
          <w:trHeight w:val="810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3500043140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местных инициатив граждан, проживающих в муниципальных образованиях</w:t>
            </w:r>
          </w:p>
        </w:tc>
      </w:tr>
      <w:tr w:rsidR="00DA2E85" w:rsidRPr="00DA2E85" w:rsidTr="00213103">
        <w:trPr>
          <w:trHeight w:val="59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3500043180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государственной программы Республики Карелия "Развитие транспортной системы"</w:t>
            </w:r>
          </w:p>
        </w:tc>
      </w:tr>
      <w:tr w:rsidR="00DA2E85" w:rsidRPr="00DA2E85" w:rsidTr="00213103">
        <w:trPr>
          <w:trHeight w:val="68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3500079100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  <w:tr w:rsidR="00DA2E85" w:rsidRPr="00DA2E85" w:rsidTr="00213103">
        <w:trPr>
          <w:trHeight w:val="415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DA2E85" w:rsidRPr="00DA2E85" w:rsidTr="00213103">
        <w:trPr>
          <w:trHeight w:val="421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3600075100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массового спорта</w:t>
            </w:r>
          </w:p>
        </w:tc>
      </w:tr>
      <w:tr w:rsidR="00DA2E85" w:rsidRPr="00DA2E85" w:rsidTr="00213103">
        <w:trPr>
          <w:trHeight w:val="413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в области пожарной безопасности</w:t>
            </w:r>
          </w:p>
        </w:tc>
      </w:tr>
      <w:tr w:rsidR="00DA2E85" w:rsidRPr="00DA2E85" w:rsidTr="00213103">
        <w:trPr>
          <w:trHeight w:val="987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Лахденпохского городского поселения" в рамках реализации федерального проекта "Формирование комфортной городской среды"</w:t>
            </w:r>
          </w:p>
        </w:tc>
      </w:tr>
      <w:tr w:rsidR="00AD5FE4" w:rsidRPr="00DA2E85" w:rsidTr="00AD5FE4">
        <w:trPr>
          <w:trHeight w:val="705"/>
        </w:trPr>
        <w:tc>
          <w:tcPr>
            <w:tcW w:w="2020" w:type="dxa"/>
          </w:tcPr>
          <w:p w:rsidR="00AD5FE4" w:rsidRPr="00DA2E85" w:rsidRDefault="00AD5FE4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850F200000</w:t>
            </w:r>
          </w:p>
        </w:tc>
        <w:tc>
          <w:tcPr>
            <w:tcW w:w="11040" w:type="dxa"/>
          </w:tcPr>
          <w:p w:rsidR="00AD5FE4" w:rsidRPr="00DA2E85" w:rsidRDefault="00FB60E5" w:rsidP="00FB60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AD5FE4" w:rsidRPr="00AD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D5FE4" w:rsidRPr="00AD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  <w:r w:rsidR="00AD5FE4" w:rsidRPr="00AD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национального проекта «Жилье и городская среда»</w:t>
            </w:r>
          </w:p>
        </w:tc>
      </w:tr>
      <w:tr w:rsidR="00DA2E85" w:rsidRPr="00DA2E85" w:rsidTr="00213103">
        <w:trPr>
          <w:trHeight w:val="419"/>
        </w:trPr>
        <w:tc>
          <w:tcPr>
            <w:tcW w:w="2020" w:type="dxa"/>
            <w:hideMark/>
          </w:tcPr>
          <w:p w:rsidR="00DA2E85" w:rsidRPr="00DA2E85" w:rsidRDefault="00DA2E85" w:rsidP="00DA2E8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850F255550</w:t>
            </w:r>
          </w:p>
        </w:tc>
        <w:tc>
          <w:tcPr>
            <w:tcW w:w="11040" w:type="dxa"/>
            <w:hideMark/>
          </w:tcPr>
          <w:p w:rsidR="00DA2E85" w:rsidRPr="00DA2E85" w:rsidRDefault="00DA2E85" w:rsidP="00DA2E8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</w:tr>
    </w:tbl>
    <w:p w:rsidR="000D769B" w:rsidRDefault="000D769B" w:rsidP="00DA2E85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03" w:rsidRDefault="00213103" w:rsidP="00DA2E85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03" w:rsidRDefault="00213103" w:rsidP="00DA2E85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A7E" w:rsidRPr="00C47E6C" w:rsidRDefault="003D2A7E" w:rsidP="002131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03" w:rsidRPr="000D769B" w:rsidRDefault="00213103" w:rsidP="002131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13103" w:rsidRPr="000D769B" w:rsidRDefault="00213103" w:rsidP="002131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13103" w:rsidRPr="000D769B" w:rsidRDefault="00213103" w:rsidP="002131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213103" w:rsidRDefault="00C47E6C" w:rsidP="002131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792</w:t>
      </w:r>
      <w:r w:rsidR="0021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1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 2020</w:t>
      </w:r>
      <w:r w:rsidR="00213103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47E6C" w:rsidRDefault="00C47E6C" w:rsidP="00E6583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69B" w:rsidRPr="00213103" w:rsidRDefault="000D769B" w:rsidP="00E6583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применения целевых статей классификации расходов </w:t>
      </w:r>
    </w:p>
    <w:p w:rsidR="000D769B" w:rsidRPr="003D2A7E" w:rsidRDefault="000D769B" w:rsidP="00E6583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бюджета Лахденпохского </w:t>
      </w:r>
      <w:r w:rsidR="003D2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</w:t>
      </w:r>
    </w:p>
    <w:p w:rsidR="000D769B" w:rsidRPr="005D06EE" w:rsidRDefault="000D769B" w:rsidP="000D769B">
      <w:pPr>
        <w:spacing w:before="100" w:before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06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Общие положения</w:t>
      </w:r>
    </w:p>
    <w:p w:rsidR="000D769B" w:rsidRPr="000D769B" w:rsidRDefault="000D769B" w:rsidP="008A246E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статьи расходов бюджета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привязку бюджетных ассигнований бюджета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муниципальным программам и (или) не включенным в муниципальные программы направлениям деятельности муниципальных органов власти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указанных в ведомственной структуре расходов бюджета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69B" w:rsidRPr="000D769B" w:rsidRDefault="000D769B" w:rsidP="008A246E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кода целевой статьи расходов бюджета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десяти разрядов и вкл</w:t>
      </w:r>
      <w:r w:rsidR="0021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следующие составные части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3"/>
        <w:gridCol w:w="1235"/>
        <w:gridCol w:w="1470"/>
        <w:gridCol w:w="849"/>
        <w:gridCol w:w="972"/>
        <w:gridCol w:w="572"/>
        <w:gridCol w:w="572"/>
        <w:gridCol w:w="443"/>
        <w:gridCol w:w="572"/>
        <w:gridCol w:w="1392"/>
      </w:tblGrid>
      <w:tr w:rsidR="000D769B" w:rsidRPr="000D769B" w:rsidTr="00213103">
        <w:trPr>
          <w:tblCellSpacing w:w="0" w:type="dxa"/>
        </w:trPr>
        <w:tc>
          <w:tcPr>
            <w:tcW w:w="92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69B" w:rsidRPr="00E6583A" w:rsidRDefault="000D769B" w:rsidP="000D769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</w:p>
        </w:tc>
      </w:tr>
      <w:tr w:rsidR="000D769B" w:rsidRPr="000D769B" w:rsidTr="00213103">
        <w:trPr>
          <w:tblCellSpacing w:w="0" w:type="dxa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0D769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(непрограммное) направление расходов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0D769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0D769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3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69B" w:rsidRPr="00E6583A" w:rsidRDefault="000D769B" w:rsidP="000D769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расходов </w:t>
            </w:r>
          </w:p>
        </w:tc>
      </w:tr>
      <w:tr w:rsidR="000D769B" w:rsidRPr="000D769B" w:rsidTr="00213103">
        <w:trPr>
          <w:tblCellSpacing w:w="0" w:type="dxa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69B" w:rsidRPr="00E6583A" w:rsidRDefault="000D769B" w:rsidP="00E6583A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</w:tbl>
    <w:p w:rsidR="000D769B" w:rsidRPr="000D769B" w:rsidRDefault="00E6583A" w:rsidP="008A24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программного (непрограммного) направления расходов (8-9 разряды кода классификации расходов бюджетов), предназначенный для кодирования муниципальных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(ведомственных)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непрограммных направлений деятельности органов муниципальной власти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69B" w:rsidRPr="000D769B" w:rsidRDefault="00E6583A" w:rsidP="008A24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подпрограммы (10 разряд кода классификации расходов бюджетов), предназначенный для кодирования подпрограмм муниципальных программ Лахденпохского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D769B" w:rsidRPr="000D769B" w:rsidRDefault="000D769B" w:rsidP="008A24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основного мероприятия (11 - 12 разряды кода классификации расходов бюджета), предназначенный для кодирования основных мероприятий в рамках </w:t>
      </w:r>
      <w:r w:rsidR="0047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программ или 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 </w:t>
      </w:r>
      <w:r w:rsidR="004763D4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69B" w:rsidRDefault="000D769B" w:rsidP="008A24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направления расходов (13-17 разряды) предназначен для кодирования направлений расходования средств, конкретизирующих отдельные мероприятия. </w:t>
      </w:r>
    </w:p>
    <w:p w:rsidR="008A246E" w:rsidRDefault="008A246E" w:rsidP="008A24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5F3" w:rsidRPr="001955F3" w:rsidRDefault="000D769B" w:rsidP="001955F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13 разряд </w:t>
      </w:r>
      <w:r w:rsidR="0019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1955F3" w:rsidRPr="0019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установлено настоящим Порядком:</w:t>
      </w:r>
    </w:p>
    <w:p w:rsidR="004763D4" w:rsidRDefault="004763D4" w:rsidP="001955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9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F3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955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органов местного самоуправления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5F3" w:rsidRDefault="00E71640" w:rsidP="001955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E71640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71640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640" w:rsidRPr="00E71640" w:rsidRDefault="00E71640" w:rsidP="00E716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640">
        <w:rPr>
          <w:rFonts w:ascii="Times New Roman" w:hAnsi="Times New Roman" w:cs="Times New Roman"/>
          <w:sz w:val="24"/>
          <w:szCs w:val="24"/>
        </w:rPr>
        <w:lastRenderedPageBreak/>
        <w:t xml:space="preserve">4 – для отражения расходов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71640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средства межбюджетных трансфертов, предоставляемы из бюджета </w:t>
      </w:r>
      <w:r w:rsidR="00903882">
        <w:rPr>
          <w:rFonts w:ascii="Times New Roman" w:hAnsi="Times New Roman" w:cs="Times New Roman"/>
          <w:sz w:val="24"/>
          <w:szCs w:val="24"/>
        </w:rPr>
        <w:t>Лахденпохского муниципального района за счет средств межбюджетных трансфертов из бюджета Республики Карелия</w:t>
      </w:r>
      <w:r w:rsidRPr="00E71640">
        <w:rPr>
          <w:rFonts w:ascii="Times New Roman" w:hAnsi="Times New Roman" w:cs="Times New Roman"/>
          <w:sz w:val="24"/>
          <w:szCs w:val="24"/>
        </w:rPr>
        <w:t>;</w:t>
      </w:r>
    </w:p>
    <w:p w:rsidR="001955F3" w:rsidRPr="001955F3" w:rsidRDefault="001955F3" w:rsidP="001955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F3">
        <w:rPr>
          <w:rFonts w:ascii="Times New Roman" w:hAnsi="Times New Roman" w:cs="Times New Roman"/>
          <w:sz w:val="24"/>
          <w:szCs w:val="24"/>
        </w:rPr>
        <w:t xml:space="preserve">3, 5 - для отражения расходов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1955F3"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proofErr w:type="gramStart"/>
      <w:r w:rsidRPr="001955F3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1955F3">
        <w:rPr>
          <w:rFonts w:ascii="Times New Roman" w:hAnsi="Times New Roman" w:cs="Times New Roman"/>
          <w:sz w:val="24"/>
          <w:szCs w:val="24"/>
        </w:rPr>
        <w:t xml:space="preserve">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трансферты;</w:t>
      </w:r>
    </w:p>
    <w:p w:rsidR="00E71640" w:rsidRDefault="00E71640" w:rsidP="001955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мероприятия;</w:t>
      </w:r>
    </w:p>
    <w:p w:rsidR="002915D3" w:rsidRDefault="002915D3" w:rsidP="00291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915D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15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915D3">
        <w:rPr>
          <w:rFonts w:ascii="Times New Roman" w:hAnsi="Times New Roman" w:cs="Times New Roman"/>
          <w:sz w:val="24"/>
          <w:szCs w:val="24"/>
        </w:rPr>
        <w:t xml:space="preserve"> отражения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915D3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915D3">
        <w:rPr>
          <w:rFonts w:ascii="Times New Roman" w:hAnsi="Times New Roman" w:cs="Times New Roman"/>
          <w:sz w:val="24"/>
          <w:szCs w:val="24"/>
        </w:rP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Республики Карелия предоставляются субсидии и иные межбюджетные трансферты, в целях софинансирования которых бюджет</w:t>
      </w:r>
      <w:r w:rsidR="00FB60E5">
        <w:rPr>
          <w:rFonts w:ascii="Times New Roman" w:hAnsi="Times New Roman" w:cs="Times New Roman"/>
          <w:sz w:val="24"/>
          <w:szCs w:val="24"/>
        </w:rPr>
        <w:t xml:space="preserve">у </w:t>
      </w:r>
      <w:r w:rsidRPr="002915D3">
        <w:rPr>
          <w:rFonts w:ascii="Times New Roman" w:hAnsi="Times New Roman" w:cs="Times New Roman"/>
          <w:sz w:val="24"/>
          <w:szCs w:val="24"/>
        </w:rPr>
        <w:t>Республики Карелия предоставляются из федерального бюджета субсидии и иные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5D3" w:rsidRPr="002915D3" w:rsidRDefault="002915D3" w:rsidP="008A246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1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5D3">
        <w:rPr>
          <w:rFonts w:ascii="Times New Roman" w:hAnsi="Times New Roman" w:cs="Times New Roman"/>
          <w:sz w:val="24"/>
          <w:szCs w:val="24"/>
        </w:rPr>
        <w:t xml:space="preserve">для отражения расходов бюджета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915D3">
        <w:rPr>
          <w:rFonts w:ascii="Times New Roman" w:hAnsi="Times New Roman" w:cs="Times New Roman"/>
          <w:sz w:val="24"/>
          <w:szCs w:val="24"/>
        </w:rPr>
        <w:t>, в целях софинансирования которых из бюджет</w:t>
      </w:r>
      <w:r w:rsidR="00903882">
        <w:rPr>
          <w:rFonts w:ascii="Times New Roman" w:hAnsi="Times New Roman" w:cs="Times New Roman"/>
          <w:sz w:val="24"/>
          <w:szCs w:val="24"/>
        </w:rPr>
        <w:t>а Лахденпохского муниципального района</w:t>
      </w:r>
      <w:r w:rsidRPr="002915D3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бюджету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03882">
        <w:rPr>
          <w:rFonts w:ascii="Times New Roman" w:hAnsi="Times New Roman" w:cs="Times New Roman"/>
          <w:sz w:val="24"/>
          <w:szCs w:val="24"/>
        </w:rPr>
        <w:t>субсидии (за счет средств субсидий из бюджета Республики Карелия),</w:t>
      </w:r>
      <w:r w:rsidRPr="002915D3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spellStart"/>
      <w:r w:rsidRPr="002915D3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2915D3">
        <w:rPr>
          <w:rFonts w:ascii="Times New Roman" w:hAnsi="Times New Roman" w:cs="Times New Roman"/>
          <w:sz w:val="24"/>
          <w:szCs w:val="24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</w:t>
      </w:r>
      <w:r>
        <w:rPr>
          <w:rFonts w:ascii="Times New Roman" w:hAnsi="Times New Roman" w:cs="Times New Roman"/>
          <w:sz w:val="24"/>
          <w:szCs w:val="24"/>
        </w:rPr>
        <w:t xml:space="preserve">бюджет 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915D3">
        <w:rPr>
          <w:rFonts w:ascii="Times New Roman" w:hAnsi="Times New Roman" w:cs="Times New Roman"/>
          <w:sz w:val="24"/>
          <w:szCs w:val="24"/>
        </w:rPr>
        <w:t xml:space="preserve"> в доле, соответствующей установленному уровню софинансирования расходного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915D3">
        <w:rPr>
          <w:rFonts w:ascii="Times New Roman" w:hAnsi="Times New Roman" w:cs="Times New Roman"/>
          <w:sz w:val="24"/>
          <w:szCs w:val="24"/>
        </w:rPr>
        <w:t xml:space="preserve">, при оплате денежного обязательства получателя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бюджета Лахденпохского </w:t>
      </w:r>
      <w:r w:rsidR="00903882" w:rsidRPr="009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882" w:rsidRPr="00903882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637" w:rsidRPr="00D07637" w:rsidRDefault="00D07637" w:rsidP="008A246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 xml:space="preserve">Для отражения расходов на финансовое обеспечение </w:t>
      </w:r>
      <w:r w:rsidR="00A0014D">
        <w:rPr>
          <w:rFonts w:ascii="Times New Roman" w:hAnsi="Times New Roman" w:cs="Times New Roman"/>
          <w:sz w:val="24"/>
          <w:szCs w:val="24"/>
        </w:rPr>
        <w:t>расходов</w:t>
      </w:r>
      <w:r w:rsidRPr="00D07637">
        <w:rPr>
          <w:rFonts w:ascii="Times New Roman" w:hAnsi="Times New Roman" w:cs="Times New Roman"/>
          <w:sz w:val="24"/>
          <w:szCs w:val="24"/>
        </w:rPr>
        <w:t xml:space="preserve"> в рамках национальных проектов и программ, реализуемых на территории </w:t>
      </w:r>
      <w:r w:rsidR="00A0014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0763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0014D">
        <w:rPr>
          <w:rFonts w:ascii="Times New Roman" w:hAnsi="Times New Roman" w:cs="Times New Roman"/>
          <w:sz w:val="24"/>
          <w:szCs w:val="24"/>
        </w:rPr>
        <w:t>муниципальных</w:t>
      </w:r>
      <w:r w:rsidR="00903882">
        <w:rPr>
          <w:rFonts w:ascii="Times New Roman" w:hAnsi="Times New Roman" w:cs="Times New Roman"/>
          <w:sz w:val="24"/>
          <w:szCs w:val="24"/>
        </w:rPr>
        <w:t xml:space="preserve"> (ведомственных)</w:t>
      </w:r>
      <w:r w:rsidR="00A0014D">
        <w:rPr>
          <w:rFonts w:ascii="Times New Roman" w:hAnsi="Times New Roman" w:cs="Times New Roman"/>
          <w:sz w:val="24"/>
          <w:szCs w:val="24"/>
        </w:rPr>
        <w:t xml:space="preserve"> </w:t>
      </w:r>
      <w:r w:rsidRPr="00D0763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0014D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903882" w:rsidRPr="009038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0014D">
        <w:rPr>
          <w:rFonts w:ascii="Times New Roman" w:hAnsi="Times New Roman" w:cs="Times New Roman"/>
          <w:sz w:val="24"/>
          <w:szCs w:val="24"/>
        </w:rPr>
        <w:t>или непрограммных направлений деятельности</w:t>
      </w:r>
      <w:r w:rsidRPr="00D07637">
        <w:rPr>
          <w:rFonts w:ascii="Times New Roman" w:hAnsi="Times New Roman" w:cs="Times New Roman"/>
          <w:sz w:val="24"/>
          <w:szCs w:val="24"/>
        </w:rPr>
        <w:t xml:space="preserve">, </w:t>
      </w:r>
      <w:r w:rsidR="00A0014D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D07637">
        <w:rPr>
          <w:rFonts w:ascii="Times New Roman" w:hAnsi="Times New Roman" w:cs="Times New Roman"/>
          <w:sz w:val="24"/>
          <w:szCs w:val="24"/>
        </w:rPr>
        <w:t xml:space="preserve">уникальные коды целевых статей расходов, сформированные с применением в четвертом разряде буквенного ряда: </w:t>
      </w:r>
      <w:r w:rsidR="009C40E2">
        <w:rPr>
          <w:rFonts w:ascii="Times New Roman" w:hAnsi="Times New Roman" w:cs="Times New Roman"/>
          <w:sz w:val="24"/>
          <w:szCs w:val="24"/>
        </w:rPr>
        <w:t>F</w:t>
      </w:r>
      <w:r w:rsidRPr="00D07637">
        <w:rPr>
          <w:rFonts w:ascii="Times New Roman" w:hAnsi="Times New Roman" w:cs="Times New Roman"/>
          <w:sz w:val="24"/>
          <w:szCs w:val="24"/>
        </w:rPr>
        <w:t xml:space="preserve"> </w:t>
      </w:r>
      <w:r w:rsidRPr="00AD5FE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AD5FE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D07637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07637" w:rsidRPr="00D07637" w:rsidRDefault="00D07637" w:rsidP="008A2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 xml:space="preserve">Перечень направлений расходов, увязываемых с программными (непрограммными) статьями целевых статей расходов бюджета </w:t>
      </w:r>
      <w:r w:rsidR="009C40E2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D07637">
        <w:rPr>
          <w:rFonts w:ascii="Times New Roman" w:hAnsi="Times New Roman" w:cs="Times New Roman"/>
          <w:sz w:val="24"/>
          <w:szCs w:val="24"/>
        </w:rPr>
        <w:t xml:space="preserve">, установлен </w:t>
      </w:r>
      <w:r w:rsidRPr="00AD5FE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AD5FE4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9C40E2" w:rsidRPr="00AD5FE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5FE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07637">
        <w:rPr>
          <w:rFonts w:ascii="Times New Roman" w:hAnsi="Times New Roman" w:cs="Times New Roman"/>
          <w:sz w:val="24"/>
          <w:szCs w:val="24"/>
        </w:rPr>
        <w:t>Порядка.</w:t>
      </w:r>
    </w:p>
    <w:p w:rsidR="000D769B" w:rsidRDefault="000D769B" w:rsidP="008A246E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расходов бюджета Лахденпохского </w:t>
      </w:r>
      <w:r w:rsidR="009C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</w:t>
      </w:r>
      <w:r w:rsidR="00D104A8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 бюджета Республики Карелия и (или) бюджета Лахденпохского муниципального района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целевым статьям расходов бюджета Лахденпохского </w:t>
      </w:r>
      <w:r w:rsidR="00D104A8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включаемым коды направлений расходов (13 - 17 разряды кода расходов бюджетов), идентичные коду соответствующих направлений расходов бюджета Республики Карелия</w:t>
      </w:r>
      <w:r w:rsidR="00D104A8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бюджета</w:t>
      </w:r>
      <w:proofErr w:type="gramEnd"/>
      <w:r w:rsidR="00D104A8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муниципального района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которым отражаются расходы бюджета Республики Карелия </w:t>
      </w:r>
      <w:r w:rsidR="00D104A8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бюджета Лахденпохского муниципального района 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вышеуказанных межбюджетных трансфертов</w:t>
      </w:r>
      <w:r w:rsidR="00091EE4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иное не установлено </w:t>
      </w:r>
      <w:hyperlink r:id="rId12" w:history="1">
        <w:r w:rsidR="00091EE4" w:rsidRPr="00D104A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2</w:t>
        </w:r>
      </w:hyperlink>
      <w:r w:rsidR="00091EE4"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="00091EE4"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Порядка).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наименование указанного направления расходов бюджета Лахденпохского </w:t>
      </w:r>
      <w:r w:rsid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D1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8A246E" w:rsidRDefault="008A246E" w:rsidP="008A246E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4A8" w:rsidRPr="00D104A8" w:rsidRDefault="00D104A8" w:rsidP="005D06EE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2. Перечень и правила применения целевых статей непрограммного направления расходов бюджета, применяемых в бюджете Лахденпохского </w:t>
      </w:r>
      <w:r w:rsidRPr="005D0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поселения</w:t>
      </w:r>
    </w:p>
    <w:p w:rsidR="00D104A8" w:rsidRPr="00D104A8" w:rsidRDefault="00D104A8" w:rsidP="00D10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D104A8" w:rsidP="00D104A8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31 0 00 00000 </w:t>
      </w:r>
      <w:r w:rsidR="00705594"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Органы местного самоуправления</w:t>
      </w:r>
    </w:p>
    <w:p w:rsidR="00D104A8" w:rsidRPr="00D104A8" w:rsidRDefault="00D104A8" w:rsidP="00D104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на содержание и обеспечение деятельности муниципальных органов Лахденпохского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05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A8" w:rsidRPr="00D104A8" w:rsidRDefault="00D104A8" w:rsidP="00D104A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D104A8" w:rsidP="008A246E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32 0 00 00000 Реализация муниципальных функций, связанных с муниципальным  управлением</w:t>
      </w:r>
    </w:p>
    <w:p w:rsidR="00B6019C" w:rsidRPr="00D104A8" w:rsidRDefault="00B6019C" w:rsidP="00B6019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расходы: р</w:t>
      </w:r>
      <w:r w:rsidRP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езервные средства для обеспечения планируемых расходных обязательств Лахденпохского городского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 муниципального долга;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60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ероприятия по управлению и распоряжению имуществом</w:t>
      </w:r>
      <w:r w:rsidR="005D0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04A8" w:rsidRPr="00D104A8" w:rsidRDefault="00D104A8" w:rsidP="00D104A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D104A8" w:rsidP="00D104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33 0 00 00000 </w:t>
      </w:r>
      <w:r w:rsidRPr="008A2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Осуществление деятельности в области культуры</w:t>
      </w:r>
    </w:p>
    <w:p w:rsidR="00D104A8" w:rsidRDefault="00D104A8" w:rsidP="00D104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статье отражаются расходы в области культуры, а именно:</w:t>
      </w: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</w:t>
      </w:r>
      <w:r w:rsidRPr="00D10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библиотечных, культурных и досуговых центов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в области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A8" w:rsidRPr="00D104A8" w:rsidRDefault="00D104A8" w:rsidP="00D104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D104A8" w:rsidP="00D104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</w:t>
      </w:r>
      <w:r w:rsidR="00A06B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0 00 00000 </w:t>
      </w:r>
      <w:r w:rsidRPr="008A2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Осуществление деятельности в области жилищно-коммунального  хозяйства</w:t>
      </w:r>
    </w:p>
    <w:p w:rsidR="00D104A8" w:rsidRPr="00D104A8" w:rsidRDefault="00D104A8" w:rsidP="00D104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019C" w:rsidRP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жилищно-коммунального  хозяйства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</w:t>
      </w: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в области жилищного  хозяйства;</w:t>
      </w:r>
      <w:r w:rsid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EE" w:rsidRP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06EE" w:rsidRPr="005D0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существление функц</w:t>
      </w:r>
      <w:r w:rsidR="00AF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начислению и сбору платы з</w:t>
      </w:r>
      <w:r w:rsidR="005D06EE" w:rsidRPr="005D0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наем муниципального жилья</w:t>
      </w:r>
      <w:r w:rsid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в фонд капитального ремонта,</w:t>
      </w: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в области коммунального  хозяйства;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муниципальной бани;</w:t>
      </w: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мест захоронений; уличное освещение; прочие мероприятия в области благоустройства;</w:t>
      </w:r>
      <w:proofErr w:type="gramEnd"/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исполнительным документам в соответствующей сфере.</w:t>
      </w:r>
    </w:p>
    <w:p w:rsidR="00D104A8" w:rsidRPr="00D104A8" w:rsidRDefault="00D104A8" w:rsidP="00D104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B6019C" w:rsidP="00AF14C2">
      <w:pPr>
        <w:ind w:firstLine="567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</w:t>
      </w:r>
      <w:r w:rsidR="00D104A8"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0 00 00000 </w:t>
      </w:r>
      <w:r w:rsidR="00D104A8" w:rsidRPr="008A2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D104A8"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Дорожное хозяйство (дорожные фонды)</w:t>
      </w:r>
    </w:p>
    <w:p w:rsidR="00D104A8" w:rsidRPr="00D104A8" w:rsidRDefault="00D104A8" w:rsidP="00AF14C2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целевой статье о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тражаются расходы за счет средств дорожного фонда Лахденпохского городского поселения.</w:t>
      </w:r>
    </w:p>
    <w:p w:rsidR="00D104A8" w:rsidRPr="00D104A8" w:rsidRDefault="00D104A8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8" w:rsidRPr="008A246E" w:rsidRDefault="00B6019C" w:rsidP="00AF14C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</w:t>
      </w:r>
      <w:r w:rsidR="00D104A8"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0 00 00000 </w:t>
      </w:r>
      <w:r w:rsidR="00D104A8" w:rsidRPr="008A2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D104A8"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Физкультура и спорт</w:t>
      </w:r>
    </w:p>
    <w:p w:rsidR="00D104A8" w:rsidRDefault="00D104A8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целевой статье отражаются расходы на мероприятия</w:t>
      </w:r>
      <w:r w:rsidR="00B6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физкультуры и спорта.</w:t>
      </w:r>
    </w:p>
    <w:p w:rsidR="001E3E26" w:rsidRDefault="001E3E26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26" w:rsidRPr="008A246E" w:rsidRDefault="001E3E26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37 0 00 00000 </w:t>
      </w:r>
      <w:r w:rsidR="00AF1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8A2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существление деятельности в области пожарной безопасности</w:t>
      </w:r>
    </w:p>
    <w:p w:rsidR="001E3E26" w:rsidRDefault="001E3E26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целевой статье отражаются расходы, направленные на обеспечение пожарной безопасности на территории Лахденпохского городского поселения</w:t>
      </w:r>
    </w:p>
    <w:p w:rsidR="001E3E26" w:rsidRDefault="001E3E26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E" w:rsidRPr="005D06EE" w:rsidRDefault="005D06EE" w:rsidP="00AF14C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Перечень и правила применения целевых статей формируемых в рамках муниципальных программ  Лахденпохского городского поселения</w:t>
      </w:r>
    </w:p>
    <w:p w:rsidR="005D06EE" w:rsidRDefault="005D06EE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E" w:rsidRPr="00D104A8" w:rsidRDefault="005D06EE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0 00 00000 Муниципальная программа «</w:t>
      </w:r>
      <w:r w:rsidRP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Лахденпохского городского поселения» в рамках реализации федерального проекта «Формирование комфортной городской среды».</w:t>
      </w:r>
    </w:p>
    <w:p w:rsidR="00D104A8" w:rsidRDefault="00D104A8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E" w:rsidRDefault="005D06EE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в рамках мероприятий муниципальной программы </w:t>
      </w:r>
      <w:r w:rsidRP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 w:rsidRPr="005D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Лахденпохского городского поселения» в рамках реализации федерального проекта «Формирование комфортной городской среды».</w:t>
      </w:r>
    </w:p>
    <w:p w:rsidR="005D06EE" w:rsidRPr="00D104A8" w:rsidRDefault="005D06EE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E" w:rsidRPr="005D06EE" w:rsidRDefault="005D06EE" w:rsidP="00AF14C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кода целевой статьи)</w:t>
      </w:r>
    </w:p>
    <w:p w:rsidR="00B6019C" w:rsidRPr="005D06EE" w:rsidRDefault="00B6019C" w:rsidP="00AF1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8F1" w:rsidRPr="00AD5FE4" w:rsidRDefault="00CF58F1" w:rsidP="00AF14C2">
      <w:pPr>
        <w:ind w:firstLine="567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10100</w:t>
      </w:r>
      <w:r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734433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912F3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Совет </w:t>
      </w:r>
      <w:r w:rsidR="00734433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Лахденпохского </w:t>
      </w:r>
      <w:r w:rsidR="001461EF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городского поселения</w:t>
      </w:r>
    </w:p>
    <w:p w:rsidR="00CF58F1" w:rsidRPr="00AD5FE4" w:rsidRDefault="00734433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содержание и обеспечение деятельности Совета Лахденпохского </w:t>
      </w:r>
      <w:r w:rsidR="00903882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1912F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D7CE7" w:rsidRPr="00AD5FE4" w:rsidRDefault="007D7CE7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7CE7" w:rsidRPr="00AD5FE4" w:rsidRDefault="007D7CE7" w:rsidP="00AF14C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10110 </w:t>
      </w:r>
      <w:r w:rsidR="00E73BBA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Представительские расходы, участие в  торжественных мероприятиях</w:t>
      </w:r>
    </w:p>
    <w:p w:rsidR="007D7CE7" w:rsidRPr="00AD5FE4" w:rsidRDefault="007D7CE7" w:rsidP="00AF14C2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отражаются расходы на проведение выставочных, ярмарочных, торжественных мероприятий, организатором и (или) участником которых являются органы местного самоуправления Лахденпохского городского поселения, включая представительские расходы на приемы делегаций.</w:t>
      </w:r>
    </w:p>
    <w:p w:rsidR="009C67AE" w:rsidRPr="00AD5FE4" w:rsidRDefault="009C67AE" w:rsidP="00AF14C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F3" w:rsidRPr="00AD5FE4" w:rsidRDefault="00734433" w:rsidP="00AF14C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12F3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903882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0</w:t>
      </w:r>
      <w:r w:rsidR="001912F3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100 Обеспечение деятельности </w:t>
      </w:r>
      <w:r w:rsidR="00C8395A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библиотечных, культурных и досуговых цент</w:t>
      </w:r>
      <w:r w:rsidR="00AF14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</w:t>
      </w:r>
      <w:r w:rsidR="00C8395A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ов</w:t>
      </w:r>
      <w:r w:rsidR="001912F3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1912F3" w:rsidRPr="00AD5FE4" w:rsidRDefault="001912F3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данному направлени</w:t>
      </w:r>
      <w:r w:rsidR="00903882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 расходов отражаются расходы на содержание и обеспечение деятельности МКУ «Лахденпохский центр библиотечного обслуживания культуры и досуга»;</w:t>
      </w:r>
    </w:p>
    <w:p w:rsidR="000D769B" w:rsidRPr="00AD5FE4" w:rsidRDefault="000D769B" w:rsidP="00AF14C2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3EE" w:rsidRPr="00AD5FE4" w:rsidRDefault="001B53EE" w:rsidP="00AF14C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43140 Поддержка местных инициатив граждан, проживающих в муниципальных образованиях</w:t>
      </w:r>
    </w:p>
    <w:p w:rsidR="00344E1C" w:rsidRPr="00344E1C" w:rsidRDefault="0014075C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</w:t>
      </w:r>
      <w:r w:rsidRPr="00AD5FE4">
        <w:rPr>
          <w:rFonts w:ascii="Times New Roman" w:hAnsi="Times New Roman" w:cs="Times New Roman"/>
          <w:sz w:val="24"/>
          <w:szCs w:val="24"/>
        </w:rPr>
        <w:t xml:space="preserve">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поддержку местных инициатив граждан, проживающих в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Лахденпохском городском поселении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счет средств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 из бюджета Лахденпохского муниципального района,</w:t>
      </w:r>
      <w:r w:rsidR="00344E1C" w:rsidRPr="00AD5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предоставляемой из средств бюджета Республики Карелия;</w:t>
      </w:r>
    </w:p>
    <w:p w:rsidR="0014075C" w:rsidRDefault="0014075C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75C" w:rsidRPr="00AD5FE4" w:rsidRDefault="0014075C" w:rsidP="00AF14C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43180 Реализация мероприятий в рамках государственной программы Республики Карелия «Развитие транспортной системы»</w:t>
      </w:r>
    </w:p>
    <w:p w:rsidR="0014075C" w:rsidRPr="00AD5FE4" w:rsidRDefault="0014075C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 на осуществление дорожной деятельности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счет средств субсидии из бюджета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Лахденпохского муниципального района, предоставляемой из средств бюджета Республики Карелия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мероприятий государственной программы Республики Карелия «Развитие транспортной системы»;</w:t>
      </w:r>
    </w:p>
    <w:p w:rsidR="0014075C" w:rsidRPr="00AD5FE4" w:rsidRDefault="0014075C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5920" w:rsidRPr="00AD5FE4" w:rsidRDefault="00725920" w:rsidP="00AF14C2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43220 Реализация мероприятий государственной программы Республики Карелия «Обеспечение доступным и комфортным жильем и жилищно-коммунальными услугами»</w:t>
      </w:r>
    </w:p>
    <w:p w:rsidR="00725920" w:rsidRPr="00AD5FE4" w:rsidRDefault="00725920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по сносу аварийных многоквартирных домов, осуществляемые за счет средств субсидии из бюджета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Лахденпохского муниципального района, предоставляемой из средств бюджета Республики Карелия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услугами»;</w:t>
      </w:r>
    </w:p>
    <w:p w:rsidR="00725920" w:rsidRDefault="00725920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4804" w:rsidRDefault="00A84804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4804" w:rsidRPr="00AD5FE4" w:rsidRDefault="00A84804" w:rsidP="00AF14C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ED7" w:rsidRPr="00AD5FE4" w:rsidRDefault="00BF6ED7" w:rsidP="00BF6ED7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43250 Реализация мероприятий в рамках государственной программы Республики Карелия «Развитие культуры»</w:t>
      </w:r>
    </w:p>
    <w:p w:rsidR="00BF6ED7" w:rsidRPr="00AD5FE4" w:rsidRDefault="00BF6ED7" w:rsidP="00BF6ED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за счет средств субсидии из бюджета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Лахденпохского муниципального района, предоставляемой из средств бюджета Республики Карелия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мероприятий государственной программы Республики Карелия «Развитие культуры», направленных на частичную компенсацию расходов на повышение оплаты труда работников бюджетной сферы;</w:t>
      </w:r>
    </w:p>
    <w:p w:rsidR="005D4176" w:rsidRPr="00AD5FE4" w:rsidRDefault="005D4176" w:rsidP="00BF6ED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176" w:rsidRPr="00AD5FE4" w:rsidRDefault="005D4176" w:rsidP="005D4176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55550 Реализация мероприятий по формированию современной городской среды</w:t>
      </w:r>
    </w:p>
    <w:p w:rsidR="005D4176" w:rsidRPr="00AD5FE4" w:rsidRDefault="005D4176" w:rsidP="005D417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</w:t>
      </w:r>
      <w:r w:rsidR="00BF6ED7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мероприятий по формированию современной городской среды в рамках реализации муниципальной программы Лахденпохского городского поселения «</w:t>
      </w:r>
      <w:r w:rsidR="005D06E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современной городской среды на территории Лахденпохского городского поселения» в рамках реализации федерального проекта «Формирование комфортной городской среды»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источником финансового обеспечения которых являются субсидии, предоставляемые из бюджета Республики Карелия за счет средств субсидий из федерального бюджета, а также</w:t>
      </w:r>
      <w:proofErr w:type="gramEnd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расходы бюджета Лахденпохского городского поселения, в целях софинансирования которых предоставляются из </w:t>
      </w:r>
      <w:r w:rsidR="00575859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бюджета Республики Карелия субсидии;</w:t>
      </w:r>
    </w:p>
    <w:p w:rsidR="000D769B" w:rsidRPr="00AD5FE4" w:rsidRDefault="000D769B" w:rsidP="00BF6ED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E6" w:rsidRPr="00AD5FE4" w:rsidRDefault="00110EE6" w:rsidP="00110EE6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67483 Реализация мероприятий по переселению граждан из аварийного жилищного фонда, </w:t>
      </w:r>
      <w:proofErr w:type="spellStart"/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софинансируемых</w:t>
      </w:r>
      <w:proofErr w:type="spellEnd"/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за счет средств Фонда содействия реформированию жилищно-коммунального хозяйства</w:t>
      </w:r>
    </w:p>
    <w:p w:rsidR="00110EE6" w:rsidRDefault="00110EE6" w:rsidP="00110EE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</w:t>
      </w:r>
      <w:r w:rsidRPr="00AD5FE4">
        <w:rPr>
          <w:rFonts w:ascii="Times New Roman" w:hAnsi="Times New Roman" w:cs="Times New Roman"/>
          <w:sz w:val="24"/>
          <w:szCs w:val="24"/>
        </w:rPr>
        <w:t xml:space="preserve">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мероприятий по переселению граждан из аварийного жилищного фонда в рамках реализации Региональной </w:t>
      </w:r>
      <w:r w:rsidRPr="00AD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адресной </w:t>
      </w:r>
      <w:hyperlink r:id="rId13" w:history="1">
        <w:r w:rsidRPr="00AD5FE4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 w:rsidRPr="00AD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Карелия по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переселению граждан из аварийного жилищного фонда на 2019-2025 годы, за счет средств субсидии из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бюджета Лахденпохского муниципального района, предоставляемой из средств субсидии из бюджета Республики Карелия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источником финансового обеспечения которой являются средства Фонда содействия реформированию</w:t>
      </w:r>
      <w:proofErr w:type="gramEnd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жилищно-коммунального хозяйства;</w:t>
      </w:r>
    </w:p>
    <w:p w:rsidR="008A246E" w:rsidRDefault="008A246E" w:rsidP="00110EE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0EE6" w:rsidRPr="00AD5FE4" w:rsidRDefault="00110EE6" w:rsidP="00110EE6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67484 Обеспечение мероприятий по переселению граждан из аварийного жилищного фонда</w:t>
      </w:r>
    </w:p>
    <w:p w:rsidR="00110EE6" w:rsidRDefault="00110EE6" w:rsidP="00110EE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</w:t>
      </w:r>
      <w:proofErr w:type="gramStart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мероприятий по переселению граждан из аварийного жилищного фонда в рамках реализации Региональной </w:t>
      </w:r>
      <w:r w:rsidRPr="00AD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адресной </w:t>
      </w:r>
      <w:hyperlink r:id="rId14" w:history="1">
        <w:r w:rsidRPr="00AD5FE4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 w:rsidRPr="00AD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Карелия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переселению</w:t>
      </w:r>
      <w:proofErr w:type="gramEnd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 из аварийного жилищного фонда на 2019-2025 годы,  за счет средств субсиди</w:t>
      </w:r>
      <w:r w:rsidR="00DA6411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из бюджета </w:t>
      </w:r>
      <w:r w:rsidR="00344E1C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Лахденпохского муниципального района, предоставляемой из средств бюджета Республики Карелия</w:t>
      </w:r>
      <w:r w:rsidR="00DA6411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A246E" w:rsidRDefault="008A246E" w:rsidP="00110EE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71120 Взносы в фонд капитального ремонта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 на взносы на капитальный ремонт общего им</w:t>
      </w:r>
      <w:r w:rsidR="00AF1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ущества в многоквартирных домах</w:t>
      </w: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Фонд капитального ремонта Республики Карелия;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71130  Осуществление функций по начислению и сбору платы за наем муниципального жилья</w:t>
      </w:r>
    </w:p>
    <w:p w:rsid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на оплату услуг по начислению и сбору платы за наем муниципального жилья, перечислению платежей в бюджет Лахденпохского городского поселения, ведению </w:t>
      </w:r>
      <w:proofErr w:type="spellStart"/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претензионно</w:t>
      </w:r>
      <w:proofErr w:type="spellEnd"/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-исковой работы по плате за наем жилья;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72110 Мероприятия по управлению и распоряжению имуществом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 на реализацию мероприятий по управлению и распоряжению имуществом (за исключением земельных участков), находящимся в собственности Лахденпохского городского поселения (техническая инвентаризация, оценка муниципального имущества, признание прав и регулирование отношений по имуществу, проведение процедур по реализации муниципального имущества,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реализация мероприятий по оценке и проведению кадастровых работ в отношении объектов недвижимого имущества</w:t>
      </w: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  <w:proofErr w:type="gramEnd"/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73200  Содержание мест захоронений 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расходы, связанные с содержанием мест захоронений на территории Лахденпохского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74100 Мероприятия в области жилищного хозяйства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 на  мероприятия в области жилищного хозяйства,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района, а также в рамках муниципальных и ведомственных программ Лахденпохского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74110 Мероприятия по признанию многоквартирных домов </w:t>
      </w:r>
      <w:proofErr w:type="gramStart"/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аварийными</w:t>
      </w:r>
      <w:proofErr w:type="gramEnd"/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на   мероприятия по признанию многоквартирных домов </w:t>
      </w:r>
      <w:proofErr w:type="gramStart"/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аварийными</w:t>
      </w:r>
      <w:proofErr w:type="gramEnd"/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района, а также в рамках муниципальных и ведомственных программ Лахденпохского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74200 </w:t>
      </w: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 в области коммунального хозяйства</w:t>
      </w:r>
    </w:p>
    <w:p w:rsid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расходы на мероприятия в области коммунального хозяйства,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района, а также в рамках муниципальных и ведомственных программ Лахденпохского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74300 Мероприятия в области благоустройства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расходы на мероприятия в области благоустройства -  проведение мероприятий по содержанию территории Лахденпохского городского поселения, а также по проектированию, созданию, реконструкции, капитальному ремонту, ремонту и содержанию объектов благоустройства,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района, а также в рамках муниципальных и ведомственных программ Лахденпохского</w:t>
      </w:r>
      <w:proofErr w:type="gramEnd"/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74310 Содержание муниципальной бани</w:t>
      </w:r>
    </w:p>
    <w:p w:rsid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расходы на содержание муниципальной бани,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района;</w:t>
      </w:r>
    </w:p>
    <w:p w:rsid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7E6C" w:rsidRDefault="00C47E6C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7E6C" w:rsidRDefault="00C47E6C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74400 Уличное освещение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на оказание услуг по техническому обслуживанию сетей уличного освещения, расположенных на территории Лахденпохского городского поселения и оплату </w:t>
      </w:r>
      <w:proofErr w:type="spellStart"/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организации потребляемой уличным освещением электрической энергии,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75100 Мероприятия в области физической культуры и массового спорта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расходы, связанные с проведением мероприятий в области физической культуры и массового спорта;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76300 Резервные средства для обеспечения планируемых расходных обязательств Лахденпохского городского поселения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расходов отражаются бюджетные ассигнования, предусмотренные в бюджете Лахденпохского городского поселения за счет собственных средств на обеспечение планируемых расходных обязательств в соответствии с решением о бюджете Лахденпохского городского поселения очередной финансовый год;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79100 Капитальный ремонт, ремонт и содержание автомобильных дорог общего пользования местного значения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данному направлению отражаются расходы на капитальный ремонт, ремонт и содержание автомобильных дорог общего пользования местного значения, принадлежащих на праве собственности МО «Лахденпохский муниципальный район»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79200 Исполнение полномочий Контрольно-счетного органа Лахденпохского городского поселения 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 на предоставление иных межбюджетных трансфертов бюджету Лахденпохского муниципального района на исполнение переданных Контрольно-счетному комитету Лахденпохского муниципального района полномочий Контрольно-счетного органа Лахденпохского 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79300  Исполнение судебных актов, мировых соглашений и актов органов, осуществляющих контрольные функции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расходы, связанные с исполнением судебных актов, мировых соглашений и актов органов, осуществляющих контрольные функции в соответствии с главой 24.1 Бюджетного Кодекса Российской Федерации;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79900 Процентные платежи по обслуживанию муниципального долга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данному направлению отражаются расходы на уплату платежей за обслуживание муниципального долга Лахденпохского </w:t>
      </w:r>
      <w:r w:rsidR="00AF14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городского поселения;</w:t>
      </w:r>
    </w:p>
    <w:p w:rsidR="008A246E" w:rsidRPr="008A246E" w:rsidRDefault="008A246E" w:rsidP="008A246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23DB" w:rsidRPr="00AD5FE4" w:rsidRDefault="000D769B" w:rsidP="00F523DB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3140 </w:t>
      </w:r>
      <w:r w:rsidR="00F523DB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Отдельные мероприятия, реализуемые в рамках п</w:t>
      </w:r>
      <w:r w:rsidR="00F523DB"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оддержки местных инициатив граждан, проживающих в муниципальных образованиях</w:t>
      </w:r>
      <w:r w:rsidR="00F523DB" w:rsidRPr="00AD5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F523DB" w:rsidRDefault="00F523DB" w:rsidP="00F523D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данному направлению расходов отражаются расходы</w:t>
      </w:r>
      <w:r w:rsidR="0098110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счет собственных средств бюджета Лахденпохского </w:t>
      </w:r>
      <w:r w:rsidR="009B5B6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98110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поддержку местных инициатив граждан, проживающих в </w:t>
      </w:r>
      <w:r w:rsidR="009B5B6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Лахденпохском городском поселении</w:t>
      </w:r>
      <w:r w:rsidR="0098110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целях софинансирования которых предос</w:t>
      </w:r>
      <w:r w:rsidR="0098110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тавляется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110E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субсидия из бюджета </w:t>
      </w:r>
      <w:r w:rsidR="009B5B6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Лахденпохского муниципального района, за счет средств субсидии из бюджета Республики Карелия;</w:t>
      </w:r>
    </w:p>
    <w:p w:rsidR="00AF14C2" w:rsidRPr="00AD5FE4" w:rsidRDefault="00AF14C2" w:rsidP="00F523D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23DB" w:rsidRPr="00AD5FE4" w:rsidRDefault="00F523DB" w:rsidP="00F523D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86" w:rsidRPr="00AD5FE4" w:rsidRDefault="00DA5E86" w:rsidP="00DA5E86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lastRenderedPageBreak/>
        <w:t>S</w:t>
      </w:r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3250 Отдельные </w:t>
      </w:r>
      <w:bookmarkStart w:id="0" w:name="_GoBack"/>
      <w:bookmarkEnd w:id="0"/>
      <w:r w:rsidRPr="00AD5F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мероприятия, реализуемые в рамках государственной программы Республики Карелия «Развитие культуры»</w:t>
      </w:r>
    </w:p>
    <w:p w:rsidR="00DA5E86" w:rsidRDefault="00DA5E86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за счет собственных средств бюджета Лахденпохского </w:t>
      </w:r>
      <w:r w:rsidR="009B5B6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реализацию мероприятий государственной программы Республики Карелия «Развитие культуры», направленных на частичную компенсацию расходов на повышение оплаты труда работников бюджетной сферы, в целях софинансирования которых предоставляется субсидия из бюджета </w:t>
      </w:r>
      <w:r w:rsidR="009B5B63" w:rsidRP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Лахденпохского муниципального района, за счет средств субсидии из</w:t>
      </w:r>
      <w:r w:rsidR="00AD5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Республики Карелия.</w:t>
      </w:r>
      <w:proofErr w:type="gramEnd"/>
    </w:p>
    <w:p w:rsidR="00AD5FE4" w:rsidRDefault="00AD5FE4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5FE4" w:rsidRDefault="00AD5FE4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5FE4" w:rsidRDefault="00AD5FE4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5FE4" w:rsidRDefault="00AD5FE4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5FE4" w:rsidRDefault="00AD5FE4" w:rsidP="00DA5E86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5FE4" w:rsidRPr="00AD5FE4" w:rsidRDefault="00AD5FE4" w:rsidP="00AD5FE4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к Порядку </w:t>
      </w:r>
    </w:p>
    <w:p w:rsidR="00AD5FE4" w:rsidRPr="00AD5FE4" w:rsidRDefault="00AD5FE4" w:rsidP="00AD5FE4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применения целевых статей</w:t>
      </w:r>
    </w:p>
    <w:p w:rsidR="00AD5FE4" w:rsidRPr="00AD5FE4" w:rsidRDefault="00AD5FE4" w:rsidP="00AD5FE4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классификации расходов бюджета</w:t>
      </w:r>
    </w:p>
    <w:p w:rsidR="00AD5FE4" w:rsidRDefault="00AD5FE4" w:rsidP="00AD5FE4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D5F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Лахденпохского городского поселения</w:t>
      </w:r>
    </w:p>
    <w:p w:rsidR="00AD5FE4" w:rsidRPr="00AD5FE4" w:rsidRDefault="00AD5FE4" w:rsidP="00AD5FE4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5E86" w:rsidRPr="00DA5E86" w:rsidRDefault="00DA5E86" w:rsidP="00321E6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23DB" w:rsidRPr="005D06EE" w:rsidRDefault="005D06EE" w:rsidP="00F523D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69B" w:rsidRPr="000D769B" w:rsidRDefault="00801A51" w:rsidP="00F523D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КОДОВ ЦЕЛЕВЫХ СТАТЕЙ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ЛАХДЕНПОХСКОГО ГОРОДСКОГО ПОСЕНИЯ</w:t>
      </w:r>
      <w:r w:rsidRPr="0080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РЕАЛИЗАЦИЮ НАЦИОНАЛЬНЫХ ПРОЕКТОВ И ПРОГРАММ</w:t>
      </w:r>
    </w:p>
    <w:p w:rsidR="000D769B" w:rsidRDefault="000D769B" w:rsidP="00F523D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801A51" w:rsidRPr="00801A51" w:rsidTr="008A246E">
        <w:trPr>
          <w:trHeight w:val="705"/>
        </w:trPr>
        <w:tc>
          <w:tcPr>
            <w:tcW w:w="1668" w:type="dxa"/>
            <w:noWrap/>
            <w:hideMark/>
          </w:tcPr>
          <w:p w:rsidR="00801A51" w:rsidRPr="00801A51" w:rsidRDefault="00801A51" w:rsidP="008A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96" w:type="dxa"/>
            <w:noWrap/>
            <w:hideMark/>
          </w:tcPr>
          <w:p w:rsidR="00801A51" w:rsidRPr="00801A51" w:rsidRDefault="00801A51" w:rsidP="008A246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84804" w:rsidRPr="00DA2E85" w:rsidTr="008A246E">
        <w:trPr>
          <w:trHeight w:val="705"/>
        </w:trPr>
        <w:tc>
          <w:tcPr>
            <w:tcW w:w="1668" w:type="dxa"/>
          </w:tcPr>
          <w:p w:rsidR="00A84804" w:rsidRPr="003D2A7E" w:rsidRDefault="00A84804" w:rsidP="00B01BE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340F300000</w:t>
            </w:r>
          </w:p>
        </w:tc>
        <w:tc>
          <w:tcPr>
            <w:tcW w:w="7796" w:type="dxa"/>
          </w:tcPr>
          <w:p w:rsidR="00A84804" w:rsidRPr="00DA2E85" w:rsidRDefault="00467DC9" w:rsidP="00B01B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A84804" w:rsidRPr="003D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</w:t>
            </w:r>
            <w:r w:rsidR="00A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проживания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4804" w:rsidRPr="003D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</w:t>
            </w:r>
            <w:r w:rsidR="00FB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национального проекта «Жилье и городская среда»</w:t>
            </w:r>
          </w:p>
        </w:tc>
      </w:tr>
      <w:tr w:rsidR="00A84804" w:rsidRPr="00DA2E85" w:rsidTr="008A246E">
        <w:trPr>
          <w:trHeight w:val="705"/>
        </w:trPr>
        <w:tc>
          <w:tcPr>
            <w:tcW w:w="1668" w:type="dxa"/>
          </w:tcPr>
          <w:p w:rsidR="00A84804" w:rsidRPr="00DA2E85" w:rsidRDefault="00A84804" w:rsidP="00B01BE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F3</w:t>
            </w: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796" w:type="dxa"/>
          </w:tcPr>
          <w:p w:rsidR="00A84804" w:rsidRPr="00DA2E85" w:rsidRDefault="00A84804" w:rsidP="00B01B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</w:tr>
      <w:tr w:rsidR="00A84804" w:rsidRPr="00DA2E85" w:rsidTr="008A246E">
        <w:trPr>
          <w:trHeight w:val="705"/>
        </w:trPr>
        <w:tc>
          <w:tcPr>
            <w:tcW w:w="1668" w:type="dxa"/>
          </w:tcPr>
          <w:p w:rsidR="00A84804" w:rsidRPr="00DA2E85" w:rsidRDefault="00A84804" w:rsidP="00B01BE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F3</w:t>
            </w: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796" w:type="dxa"/>
          </w:tcPr>
          <w:p w:rsidR="00A84804" w:rsidRPr="00DA2E85" w:rsidRDefault="00A84804" w:rsidP="00B01BE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A84804" w:rsidRPr="00DA2E85" w:rsidTr="008A246E">
        <w:trPr>
          <w:trHeight w:val="705"/>
        </w:trPr>
        <w:tc>
          <w:tcPr>
            <w:tcW w:w="1668" w:type="dxa"/>
          </w:tcPr>
          <w:p w:rsidR="00A84804" w:rsidRPr="00DA2E85" w:rsidRDefault="00A84804" w:rsidP="00AB3ABA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850F200000</w:t>
            </w:r>
          </w:p>
        </w:tc>
        <w:tc>
          <w:tcPr>
            <w:tcW w:w="7796" w:type="dxa"/>
          </w:tcPr>
          <w:p w:rsidR="00A84804" w:rsidRPr="00DA2E85" w:rsidRDefault="00467DC9" w:rsidP="00AB3AB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A84804" w:rsidRPr="00AD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  <w:r w:rsidR="00A84804" w:rsidRPr="00AD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 проекта «Жилье и городская среда»</w:t>
            </w:r>
          </w:p>
        </w:tc>
      </w:tr>
      <w:tr w:rsidR="00A84804" w:rsidRPr="00DA2E85" w:rsidTr="008A246E">
        <w:trPr>
          <w:trHeight w:val="419"/>
        </w:trPr>
        <w:tc>
          <w:tcPr>
            <w:tcW w:w="1668" w:type="dxa"/>
            <w:hideMark/>
          </w:tcPr>
          <w:p w:rsidR="00A84804" w:rsidRPr="00DA2E85" w:rsidRDefault="00A84804" w:rsidP="00AB3ABA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850F255550</w:t>
            </w:r>
          </w:p>
        </w:tc>
        <w:tc>
          <w:tcPr>
            <w:tcW w:w="7796" w:type="dxa"/>
            <w:hideMark/>
          </w:tcPr>
          <w:p w:rsidR="00A84804" w:rsidRPr="00DA2E85" w:rsidRDefault="00A84804" w:rsidP="00AB3AB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</w:tr>
    </w:tbl>
    <w:p w:rsidR="000D769B" w:rsidRPr="000D769B" w:rsidRDefault="000D769B" w:rsidP="00F523D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F523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F523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F523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5395"/>
    <w:rsid w:val="0001705A"/>
    <w:rsid w:val="00091EE4"/>
    <w:rsid w:val="000C549D"/>
    <w:rsid w:val="000D769B"/>
    <w:rsid w:val="000F7EC5"/>
    <w:rsid w:val="00110EE6"/>
    <w:rsid w:val="001338C4"/>
    <w:rsid w:val="0014075C"/>
    <w:rsid w:val="00144692"/>
    <w:rsid w:val="001461EF"/>
    <w:rsid w:val="001912F3"/>
    <w:rsid w:val="001955F3"/>
    <w:rsid w:val="001B53EE"/>
    <w:rsid w:val="001C1313"/>
    <w:rsid w:val="001E3E26"/>
    <w:rsid w:val="00213103"/>
    <w:rsid w:val="00282B18"/>
    <w:rsid w:val="002915D3"/>
    <w:rsid w:val="002D2D3A"/>
    <w:rsid w:val="00321E6D"/>
    <w:rsid w:val="00344E1C"/>
    <w:rsid w:val="00357BE4"/>
    <w:rsid w:val="00373E14"/>
    <w:rsid w:val="003C4505"/>
    <w:rsid w:val="003D2A7E"/>
    <w:rsid w:val="003D5BC2"/>
    <w:rsid w:val="0040505A"/>
    <w:rsid w:val="00407B62"/>
    <w:rsid w:val="00410FCD"/>
    <w:rsid w:val="004212D2"/>
    <w:rsid w:val="00455B63"/>
    <w:rsid w:val="00467DC9"/>
    <w:rsid w:val="004763D4"/>
    <w:rsid w:val="00534AB0"/>
    <w:rsid w:val="005430C4"/>
    <w:rsid w:val="00571DBB"/>
    <w:rsid w:val="00575859"/>
    <w:rsid w:val="005805F9"/>
    <w:rsid w:val="005923B5"/>
    <w:rsid w:val="0059684A"/>
    <w:rsid w:val="005A02FF"/>
    <w:rsid w:val="005A28FF"/>
    <w:rsid w:val="005D06EE"/>
    <w:rsid w:val="005D4176"/>
    <w:rsid w:val="005E774E"/>
    <w:rsid w:val="00603DCB"/>
    <w:rsid w:val="00666C9E"/>
    <w:rsid w:val="00705594"/>
    <w:rsid w:val="00725920"/>
    <w:rsid w:val="00734433"/>
    <w:rsid w:val="00755B1D"/>
    <w:rsid w:val="00760C06"/>
    <w:rsid w:val="007D7CE7"/>
    <w:rsid w:val="007F62B4"/>
    <w:rsid w:val="00800EA2"/>
    <w:rsid w:val="00801A51"/>
    <w:rsid w:val="008672D4"/>
    <w:rsid w:val="00872486"/>
    <w:rsid w:val="00896B40"/>
    <w:rsid w:val="008A246E"/>
    <w:rsid w:val="008D7BE0"/>
    <w:rsid w:val="00903882"/>
    <w:rsid w:val="009170A2"/>
    <w:rsid w:val="009226C0"/>
    <w:rsid w:val="00934E75"/>
    <w:rsid w:val="0098110E"/>
    <w:rsid w:val="00985836"/>
    <w:rsid w:val="009B5B63"/>
    <w:rsid w:val="009C40E2"/>
    <w:rsid w:val="009C67AE"/>
    <w:rsid w:val="009F0AE1"/>
    <w:rsid w:val="009F63EB"/>
    <w:rsid w:val="00A0014D"/>
    <w:rsid w:val="00A06B7A"/>
    <w:rsid w:val="00A44FF8"/>
    <w:rsid w:val="00A84804"/>
    <w:rsid w:val="00AD190E"/>
    <w:rsid w:val="00AD5FE4"/>
    <w:rsid w:val="00AE3352"/>
    <w:rsid w:val="00AF14C2"/>
    <w:rsid w:val="00AF65B0"/>
    <w:rsid w:val="00B25E67"/>
    <w:rsid w:val="00B30E0E"/>
    <w:rsid w:val="00B3221D"/>
    <w:rsid w:val="00B6019C"/>
    <w:rsid w:val="00BC247A"/>
    <w:rsid w:val="00BE5675"/>
    <w:rsid w:val="00BF6ED7"/>
    <w:rsid w:val="00C47E6C"/>
    <w:rsid w:val="00C8395A"/>
    <w:rsid w:val="00CB32CD"/>
    <w:rsid w:val="00CE4FBD"/>
    <w:rsid w:val="00CE5C5B"/>
    <w:rsid w:val="00CF58F1"/>
    <w:rsid w:val="00CF636E"/>
    <w:rsid w:val="00D07637"/>
    <w:rsid w:val="00D104A8"/>
    <w:rsid w:val="00D42664"/>
    <w:rsid w:val="00D721CA"/>
    <w:rsid w:val="00DA083D"/>
    <w:rsid w:val="00DA2E85"/>
    <w:rsid w:val="00DA5E86"/>
    <w:rsid w:val="00DA6411"/>
    <w:rsid w:val="00E34F1F"/>
    <w:rsid w:val="00E41632"/>
    <w:rsid w:val="00E62126"/>
    <w:rsid w:val="00E6583A"/>
    <w:rsid w:val="00E71640"/>
    <w:rsid w:val="00E73BBA"/>
    <w:rsid w:val="00ED7B51"/>
    <w:rsid w:val="00F118A5"/>
    <w:rsid w:val="00F45775"/>
    <w:rsid w:val="00F508E3"/>
    <w:rsid w:val="00F523DB"/>
    <w:rsid w:val="00FB60E5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13" Type="http://schemas.openxmlformats.org/officeDocument/2006/relationships/hyperlink" Target="consultantplus://offline/ref=5985193227A97E87D58D2DAD1F4F8DFBE6AAEC3AFCFEDF4C170AAC57E8BD216DDA6C69563AE9A0308567F79A6CB813ACE22E288049776BC477919CCEuDz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FD8216A5CFEBD46B8FC54431A76B0956AD3A85ADEEEFDA7703AB69B457E7E77AD9D76E35DF1F9C898DE9CCE74E5D97676892B01EB322F9D8A7A09N110I" TargetMode="External"/><Relationship Id="rId12" Type="http://schemas.openxmlformats.org/officeDocument/2006/relationships/hyperlink" Target="consultantplus://offline/ref=6472F6B0C23B4E1249AF148FCB808203F7818E9966A60633E2D341175F62C9F4447F29669BEC82546332B006A49CBD92BE83BF29D8EFF1C06D1B8A4DcCx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1064DA3F66BE4950E1FBE2EAF40E813DDB92263D22D7E4C158E7C14CC98793316F010E91795D2E885A5411D3453CF34CF7A298E940966842318D7E4p4o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064DA3F66BE4950E1FBE2EAF40E813DDB92263D22D7E4C158E7C14CC98793316F010E91795D2E885A4431C3653CF34CF7A298E940966842318D7E4p4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FC54431A76B0956AD3A85ADEEEFDA7703AB69B457E7E77AD9D76E35DF1F9C898DE9CCE74E5D97676892B01EB322F9D8A7A09N110I" TargetMode="External"/><Relationship Id="rId14" Type="http://schemas.openxmlformats.org/officeDocument/2006/relationships/hyperlink" Target="consultantplus://offline/ref=5985193227A97E87D58D2DAD1F4F8DFBE6AAEC3AFCFEDF4C170AAC57E8BD216DDA6C69563AE9A0308567F79A6CB813ACE22E288049776BC477919CCEuD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2EFC-E333-4FD9-99D1-9B265FC9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9</cp:revision>
  <cp:lastPrinted>2020-11-27T07:00:00Z</cp:lastPrinted>
  <dcterms:created xsi:type="dcterms:W3CDTF">2020-11-26T13:17:00Z</dcterms:created>
  <dcterms:modified xsi:type="dcterms:W3CDTF">2021-03-19T09:06:00Z</dcterms:modified>
</cp:coreProperties>
</file>